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rsidTr="007D2BDA">
        <w:trPr>
          <w:gridAfter w:val="1"/>
          <w:wAfter w:w="36" w:type="dxa"/>
        </w:trPr>
        <w:tc>
          <w:tcPr>
            <w:tcW w:w="8928" w:type="dxa"/>
            <w:gridSpan w:val="2"/>
            <w:tcBorders>
              <w:bottom w:val="single" w:sz="18" w:space="0" w:color="auto"/>
            </w:tcBorders>
          </w:tcPr>
          <w:p w:rsidR="007D2BDA" w:rsidRDefault="000A674F"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7D2BDA" w:rsidRDefault="007D2BDA" w:rsidP="00244120">
            <w:pPr>
              <w:pStyle w:val="Infotext"/>
              <w:rPr>
                <w:rFonts w:ascii="Arial Black" w:hAnsi="Arial Black" w:cs="Arial"/>
                <w:sz w:val="36"/>
                <w:szCs w:val="36"/>
              </w:rPr>
            </w:pPr>
          </w:p>
        </w:tc>
      </w:tr>
      <w:tr w:rsidR="002A2389" w:rsidTr="007D2BDA">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2C1794" w:rsidRDefault="0021207E" w:rsidP="0021207E">
            <w:pPr>
              <w:pStyle w:val="Infotext"/>
              <w:rPr>
                <w:rFonts w:ascii="Arial Black" w:hAnsi="Arial Black" w:cs="Arial"/>
                <w:color w:val="0000FF"/>
                <w:sz w:val="36"/>
                <w:szCs w:val="36"/>
              </w:rPr>
            </w:pPr>
            <w:r>
              <w:rPr>
                <w:rFonts w:ascii="Arial Black" w:hAnsi="Arial Black" w:cs="Arial"/>
                <w:sz w:val="36"/>
                <w:szCs w:val="36"/>
              </w:rPr>
              <w:t>Licensing &amp; General Purposes Committee</w:t>
            </w:r>
          </w:p>
        </w:tc>
      </w:tr>
      <w:tr w:rsidR="002A2389" w:rsidTr="007D2BDA">
        <w:tc>
          <w:tcPr>
            <w:tcW w:w="3456" w:type="dxa"/>
            <w:tcBorders>
              <w:top w:val="single" w:sz="18" w:space="0" w:color="auto"/>
            </w:tcBorders>
          </w:tcPr>
          <w:p w:rsidR="006A46E1" w:rsidRDefault="006A46E1">
            <w:pPr>
              <w:pStyle w:val="Infotext"/>
              <w:rPr>
                <w:rFonts w:ascii="Arial Black" w:hAnsi="Arial Black"/>
              </w:rPr>
            </w:pPr>
          </w:p>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6A46E1" w:rsidRDefault="006A46E1">
            <w:pPr>
              <w:pStyle w:val="Infotext"/>
              <w:rPr>
                <w:rFonts w:cs="Arial"/>
              </w:rPr>
            </w:pPr>
          </w:p>
          <w:p w:rsidR="002A2389" w:rsidRDefault="006A46E1">
            <w:pPr>
              <w:pStyle w:val="Infotext"/>
              <w:rPr>
                <w:rFonts w:cs="Arial"/>
              </w:rPr>
            </w:pPr>
            <w:r>
              <w:rPr>
                <w:rFonts w:cs="Arial"/>
              </w:rPr>
              <w:t>16 January 20</w:t>
            </w:r>
            <w:r w:rsidR="00CC3875">
              <w:rPr>
                <w:rFonts w:cs="Arial"/>
              </w:rPr>
              <w:t>20</w:t>
            </w: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21207E">
            <w:pPr>
              <w:pStyle w:val="Infotext"/>
              <w:rPr>
                <w:rFonts w:cs="Arial"/>
              </w:rPr>
            </w:pPr>
            <w:r>
              <w:rPr>
                <w:rFonts w:cs="Arial"/>
              </w:rPr>
              <w:t>Review of Polling Districts and Polling Places</w:t>
            </w: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2A2389" w:rsidRDefault="0021207E">
            <w:pPr>
              <w:pStyle w:val="Infotext"/>
              <w:rPr>
                <w:rFonts w:cs="Arial"/>
              </w:rPr>
            </w:pPr>
            <w:r>
              <w:rPr>
                <w:rFonts w:cs="Arial"/>
              </w:rPr>
              <w:t xml:space="preserve">Hugh Peart – Director of Legal &amp; </w:t>
            </w:r>
            <w:bookmarkStart w:id="0" w:name="LastEdit"/>
            <w:bookmarkEnd w:id="0"/>
            <w:r>
              <w:rPr>
                <w:rFonts w:cs="Arial"/>
              </w:rPr>
              <w:t>Governance Services</w:t>
            </w:r>
          </w:p>
          <w:p w:rsidR="007D56C8" w:rsidRDefault="007D56C8">
            <w:pPr>
              <w:pStyle w:val="Infotext"/>
              <w:rPr>
                <w:rFonts w:cs="Arial"/>
              </w:rPr>
            </w:pP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Exempt:</w:t>
            </w:r>
          </w:p>
          <w:p w:rsidR="002A2389" w:rsidRPr="00F92398" w:rsidRDefault="002A2389">
            <w:pPr>
              <w:pStyle w:val="Infotext"/>
              <w:rPr>
                <w:rFonts w:ascii="Arial Black" w:hAnsi="Arial Black" w:cs="Arial"/>
              </w:rPr>
            </w:pPr>
          </w:p>
        </w:tc>
        <w:tc>
          <w:tcPr>
            <w:tcW w:w="5508" w:type="dxa"/>
            <w:gridSpan w:val="2"/>
          </w:tcPr>
          <w:p w:rsidR="00213BE7" w:rsidRDefault="002A2389" w:rsidP="0021207E">
            <w:pPr>
              <w:pStyle w:val="Infotext"/>
              <w:rPr>
                <w:rFonts w:cs="Arial"/>
              </w:rPr>
            </w:pPr>
            <w:r>
              <w:rPr>
                <w:rFonts w:cs="Arial"/>
              </w:rPr>
              <w:t>No</w:t>
            </w:r>
          </w:p>
        </w:tc>
      </w:tr>
      <w:tr w:rsidR="00B900E2" w:rsidTr="007D2BDA">
        <w:tc>
          <w:tcPr>
            <w:tcW w:w="3456" w:type="dxa"/>
          </w:tcPr>
          <w:p w:rsidR="000B0E6F" w:rsidRPr="00F92398" w:rsidRDefault="000B0E6F">
            <w:pPr>
              <w:pStyle w:val="Infotext"/>
              <w:rPr>
                <w:rFonts w:ascii="Arial Black" w:hAnsi="Arial Black" w:cs="Arial"/>
              </w:rPr>
            </w:pPr>
            <w:r>
              <w:rPr>
                <w:rFonts w:ascii="Arial Black" w:hAnsi="Arial Black" w:cs="Arial"/>
              </w:rPr>
              <w:t>Wards affected:</w:t>
            </w:r>
          </w:p>
        </w:tc>
        <w:tc>
          <w:tcPr>
            <w:tcW w:w="5508" w:type="dxa"/>
            <w:gridSpan w:val="2"/>
          </w:tcPr>
          <w:p w:rsidR="00B900E2" w:rsidRDefault="0021207E" w:rsidP="0021207E">
            <w:pPr>
              <w:pStyle w:val="Infotext"/>
            </w:pPr>
            <w:r>
              <w:rPr>
                <w:rFonts w:cs="Arial"/>
                <w:szCs w:val="24"/>
              </w:rPr>
              <w:t>All</w:t>
            </w:r>
          </w:p>
        </w:tc>
      </w:tr>
      <w:tr w:rsidR="002A2389" w:rsidTr="007D2BDA">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Default="0021207E" w:rsidP="0021207E">
            <w:pPr>
              <w:pStyle w:val="Infotext"/>
            </w:pPr>
            <w:r>
              <w:t>Appendix A Recommendations of the Polling District Review Working Group</w:t>
            </w:r>
          </w:p>
        </w:tc>
      </w:tr>
    </w:tbl>
    <w:p w:rsidR="002A2389" w:rsidRPr="007F79EA" w:rsidRDefault="0021207E" w:rsidP="007F79EA">
      <w:pPr>
        <w:ind w:left="3480"/>
        <w:rPr>
          <w:rFonts w:cs="Arial"/>
          <w:sz w:val="28"/>
          <w:szCs w:val="28"/>
        </w:rPr>
      </w:pPr>
      <w:r w:rsidRPr="007F79EA">
        <w:rPr>
          <w:rFonts w:cs="Arial"/>
          <w:sz w:val="28"/>
          <w:szCs w:val="28"/>
        </w:rPr>
        <w:t>Appendix B – Equality Impact Assessment</w:t>
      </w:r>
    </w:p>
    <w:p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tc>
          <w:tcPr>
            <w:tcW w:w="8525"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525" w:type="dxa"/>
          </w:tcPr>
          <w:p w:rsidR="002A2389" w:rsidRDefault="002A2389"/>
          <w:p w:rsidR="0021207E" w:rsidRDefault="0021207E" w:rsidP="0021207E">
            <w:pPr>
              <w:jc w:val="both"/>
              <w:rPr>
                <w:rFonts w:cs="Arial"/>
              </w:rPr>
            </w:pPr>
            <w:r>
              <w:rPr>
                <w:rFonts w:cs="Arial"/>
              </w:rPr>
              <w:t xml:space="preserve">In accordance with the </w:t>
            </w:r>
            <w:r w:rsidR="00412B19">
              <w:rPr>
                <w:rFonts w:cs="Arial"/>
              </w:rPr>
              <w:t xml:space="preserve">Representation of the People Act 1983 </w:t>
            </w:r>
            <w:r>
              <w:rPr>
                <w:rFonts w:cs="Arial"/>
              </w:rPr>
              <w:t>Electoral Registration and Administration Act 2013 the Council is required to undertake a review of its polling districts and polling places.  A Working Group was established to undertake this review and the recommendations of the Working Group are attached at Appendix A.</w:t>
            </w:r>
          </w:p>
          <w:p w:rsidR="002A2389" w:rsidRDefault="002A2389">
            <w:pPr>
              <w:pStyle w:val="Heading2"/>
            </w:pPr>
          </w:p>
          <w:p w:rsidR="002A2389" w:rsidRDefault="002A2389">
            <w:pPr>
              <w:pStyle w:val="Heading2"/>
            </w:pPr>
            <w:r>
              <w:t xml:space="preserve">Recommendations: </w:t>
            </w:r>
          </w:p>
          <w:p w:rsidR="004A4713" w:rsidRDefault="004A4713"/>
          <w:p w:rsidR="002A2389" w:rsidRDefault="002A2389">
            <w:r>
              <w:t>The Committee is requested to:</w:t>
            </w:r>
          </w:p>
          <w:p w:rsidR="0021207E" w:rsidRDefault="0021207E" w:rsidP="0021207E">
            <w:pPr>
              <w:rPr>
                <w:rFonts w:cs="Arial"/>
              </w:rPr>
            </w:pPr>
          </w:p>
          <w:p w:rsidR="0021207E" w:rsidRDefault="0021207E" w:rsidP="004A4713">
            <w:pPr>
              <w:numPr>
                <w:ilvl w:val="0"/>
                <w:numId w:val="15"/>
              </w:numPr>
              <w:ind w:left="709" w:hanging="349"/>
              <w:rPr>
                <w:rFonts w:cs="Arial"/>
              </w:rPr>
            </w:pPr>
            <w:r>
              <w:rPr>
                <w:rFonts w:cs="Arial"/>
              </w:rPr>
              <w:t>Approve the recommendations of the W</w:t>
            </w:r>
            <w:r w:rsidR="004A4713">
              <w:rPr>
                <w:rFonts w:cs="Arial"/>
              </w:rPr>
              <w:t xml:space="preserve">orking Group in relation to the </w:t>
            </w:r>
            <w:r>
              <w:rPr>
                <w:rFonts w:cs="Arial"/>
              </w:rPr>
              <w:t xml:space="preserve">individual polling districts and polling places for all future elections up to 2022.   </w:t>
            </w:r>
            <w:r>
              <w:rPr>
                <w:rFonts w:cs="Arial"/>
                <w:color w:val="FF0000"/>
              </w:rPr>
              <w:t xml:space="preserve">  </w:t>
            </w:r>
          </w:p>
          <w:p w:rsidR="00B56D6C" w:rsidRDefault="00B56D6C" w:rsidP="00B56D6C">
            <w:pPr>
              <w:pStyle w:val="Default"/>
            </w:pPr>
          </w:p>
          <w:p w:rsidR="002A2389" w:rsidRPr="007F79EA" w:rsidRDefault="004A4713" w:rsidP="00F57DCF">
            <w:pPr>
              <w:pStyle w:val="Default"/>
              <w:numPr>
                <w:ilvl w:val="0"/>
                <w:numId w:val="15"/>
              </w:numPr>
              <w:ind w:left="709" w:hanging="349"/>
            </w:pPr>
            <w:r w:rsidRPr="00600FBE">
              <w:t>N</w:t>
            </w:r>
            <w:r w:rsidR="00B56D6C" w:rsidRPr="00600FBE">
              <w:t xml:space="preserve">ote that </w:t>
            </w:r>
            <w:r w:rsidRPr="00600FBE">
              <w:t xml:space="preserve">following the publication of the final recommendations of the </w:t>
            </w:r>
            <w:r w:rsidR="00B56D6C" w:rsidRPr="00600FBE">
              <w:t>L</w:t>
            </w:r>
            <w:r w:rsidR="00ED68DF">
              <w:t xml:space="preserve">ocal </w:t>
            </w:r>
            <w:r w:rsidR="00B56D6C" w:rsidRPr="00600FBE">
              <w:t>G</w:t>
            </w:r>
            <w:r w:rsidR="00ED68DF">
              <w:t xml:space="preserve">overnment </w:t>
            </w:r>
            <w:r w:rsidR="00B56D6C" w:rsidRPr="00600FBE">
              <w:t>B</w:t>
            </w:r>
            <w:r w:rsidR="00ED68DF">
              <w:t xml:space="preserve">oundary </w:t>
            </w:r>
            <w:r w:rsidR="00B56D6C" w:rsidRPr="00600FBE">
              <w:t>C</w:t>
            </w:r>
            <w:r w:rsidR="00ED68DF">
              <w:t xml:space="preserve">ommission for </w:t>
            </w:r>
            <w:r w:rsidR="00B56D6C" w:rsidRPr="00600FBE">
              <w:t>E</w:t>
            </w:r>
            <w:r w:rsidR="00ED68DF">
              <w:t>ngland</w:t>
            </w:r>
            <w:r w:rsidR="00B56D6C" w:rsidRPr="00600FBE">
              <w:t xml:space="preserve"> </w:t>
            </w:r>
            <w:r w:rsidR="00F57DCF">
              <w:t xml:space="preserve">(LGBCE) </w:t>
            </w:r>
            <w:r w:rsidRPr="00600FBE">
              <w:t>work</w:t>
            </w:r>
            <w:r w:rsidR="00B56D6C" w:rsidRPr="00600FBE">
              <w:t xml:space="preserve"> will now commence on the future </w:t>
            </w:r>
            <w:r w:rsidRPr="00600FBE">
              <w:t>polling district and polling places arrangements</w:t>
            </w:r>
            <w:r w:rsidR="007F79EA">
              <w:t xml:space="preserve"> which will come into effect in May 2022.</w:t>
            </w:r>
          </w:p>
        </w:tc>
      </w:tr>
    </w:tbl>
    <w:p w:rsidR="004A4713" w:rsidRDefault="004A4713">
      <w:pPr>
        <w:pStyle w:val="Heading1"/>
        <w:jc w:val="both"/>
      </w:pPr>
    </w:p>
    <w:p w:rsidR="002A2389" w:rsidRDefault="002A2389">
      <w:pPr>
        <w:pStyle w:val="Heading1"/>
        <w:jc w:val="both"/>
      </w:pPr>
      <w:r>
        <w:t>Section 2 – Report</w:t>
      </w:r>
    </w:p>
    <w:p w:rsidR="0021207E" w:rsidRDefault="0021207E">
      <w:pPr>
        <w:rPr>
          <w:sz w:val="28"/>
        </w:rPr>
      </w:pPr>
    </w:p>
    <w:p w:rsidR="00F5679A" w:rsidRDefault="00F5679A" w:rsidP="002330F5">
      <w:pPr>
        <w:rPr>
          <w:rFonts w:cs="Arial"/>
        </w:rPr>
      </w:pPr>
      <w:r>
        <w:rPr>
          <w:rFonts w:cs="Arial"/>
        </w:rPr>
        <w:t xml:space="preserve">The current polling districts and polling places were last reviewed in accordance with the </w:t>
      </w:r>
      <w:r w:rsidR="00412B19">
        <w:rPr>
          <w:rFonts w:cs="Arial"/>
        </w:rPr>
        <w:t xml:space="preserve">Representation of the People Act 1983 </w:t>
      </w:r>
      <w:r>
        <w:rPr>
          <w:rFonts w:cs="Arial"/>
        </w:rPr>
        <w:t>in November 2014.</w:t>
      </w:r>
    </w:p>
    <w:p w:rsidR="00F5679A" w:rsidRDefault="00F5679A" w:rsidP="002330F5">
      <w:pPr>
        <w:rPr>
          <w:rFonts w:cs="Arial"/>
        </w:rPr>
      </w:pPr>
    </w:p>
    <w:p w:rsidR="00F5679A" w:rsidRDefault="00F5679A" w:rsidP="002330F5">
      <w:pPr>
        <w:rPr>
          <w:rFonts w:cs="Arial"/>
        </w:rPr>
      </w:pPr>
      <w:r>
        <w:rPr>
          <w:rFonts w:cs="Arial"/>
        </w:rPr>
        <w:t xml:space="preserve">The Act requires the Council to undertake a review every 5 years.  </w:t>
      </w:r>
    </w:p>
    <w:p w:rsidR="00F5679A" w:rsidRDefault="00F5679A" w:rsidP="002330F5">
      <w:pPr>
        <w:rPr>
          <w:rFonts w:cs="Arial"/>
        </w:rPr>
      </w:pPr>
    </w:p>
    <w:p w:rsidR="002330F5" w:rsidRDefault="002330F5" w:rsidP="002330F5">
      <w:pPr>
        <w:rPr>
          <w:rFonts w:cs="Arial"/>
        </w:rPr>
      </w:pPr>
      <w:r>
        <w:rPr>
          <w:rFonts w:cs="Arial"/>
        </w:rPr>
        <w:t xml:space="preserve">In February 2019, </w:t>
      </w:r>
      <w:r w:rsidR="00F5679A">
        <w:rPr>
          <w:rFonts w:cs="Arial"/>
        </w:rPr>
        <w:t xml:space="preserve">this Committee agreed to establish a cross party Review </w:t>
      </w:r>
      <w:r>
        <w:rPr>
          <w:rFonts w:cs="Arial"/>
        </w:rPr>
        <w:t xml:space="preserve">Working Group </w:t>
      </w:r>
      <w:r w:rsidR="007F79EA">
        <w:rPr>
          <w:rFonts w:cs="Arial"/>
        </w:rPr>
        <w:t>to undertake the re</w:t>
      </w:r>
      <w:r w:rsidR="00F5679A">
        <w:rPr>
          <w:rFonts w:cs="Arial"/>
        </w:rPr>
        <w:t xml:space="preserve">view of the polling districts and polling places in Harrow.  </w:t>
      </w:r>
      <w:r>
        <w:rPr>
          <w:rFonts w:cs="Arial"/>
        </w:rPr>
        <w:t xml:space="preserve">  The terms of reference for the Group and membership were agreed at that time.</w:t>
      </w:r>
    </w:p>
    <w:p w:rsidR="00F5679A" w:rsidRDefault="00F5679A" w:rsidP="002330F5">
      <w:pPr>
        <w:rPr>
          <w:rFonts w:cs="Arial"/>
        </w:rPr>
      </w:pPr>
    </w:p>
    <w:p w:rsidR="00F5679A" w:rsidRDefault="00F5679A" w:rsidP="002330F5">
      <w:pPr>
        <w:rPr>
          <w:rFonts w:cs="Arial"/>
        </w:rPr>
      </w:pPr>
      <w:r>
        <w:rPr>
          <w:rFonts w:cs="Arial"/>
        </w:rPr>
        <w:t>The Review Working Group is required to make recommendations on the proposed review to Committee.</w:t>
      </w:r>
    </w:p>
    <w:p w:rsidR="00600FBE" w:rsidRDefault="00600FBE" w:rsidP="002330F5">
      <w:pPr>
        <w:rPr>
          <w:rFonts w:cs="Arial"/>
        </w:rPr>
      </w:pPr>
    </w:p>
    <w:p w:rsidR="00600FBE" w:rsidRDefault="00600FBE" w:rsidP="002330F5">
      <w:pPr>
        <w:rPr>
          <w:rFonts w:cs="Arial"/>
        </w:rPr>
      </w:pPr>
      <w:r>
        <w:rPr>
          <w:rFonts w:cs="Arial"/>
        </w:rPr>
        <w:t>The consultation commenced on 1 April 2019 and ended on 12 May 2019.  The notice of the review was published on the Council’s website and sen</w:t>
      </w:r>
      <w:r w:rsidR="00F57DCF">
        <w:rPr>
          <w:rFonts w:cs="Arial"/>
        </w:rPr>
        <w:t>t</w:t>
      </w:r>
      <w:r>
        <w:rPr>
          <w:rFonts w:cs="Arial"/>
        </w:rPr>
        <w:t xml:space="preserve"> to </w:t>
      </w:r>
      <w:r w:rsidR="00F57DCF">
        <w:rPr>
          <w:rFonts w:cs="Arial"/>
        </w:rPr>
        <w:t>a</w:t>
      </w:r>
      <w:r>
        <w:rPr>
          <w:rFonts w:cs="Arial"/>
        </w:rPr>
        <w:t xml:space="preserve">ll Members of Council, Members of Parliament for Harrow East, Harrow West and Ruislip Northwood and Pinner Constituencies, The Member of the London Assembly for Brent and Harrow, Key Stakeholders and the Electoral Registration Officer for Hillingdon (in relation to </w:t>
      </w:r>
      <w:r w:rsidR="007F79EA">
        <w:rPr>
          <w:rFonts w:cs="Arial"/>
        </w:rPr>
        <w:t xml:space="preserve">Pinner, Pinner South and </w:t>
      </w:r>
      <w:r>
        <w:rPr>
          <w:rFonts w:cs="Arial"/>
        </w:rPr>
        <w:t>Hatch End, Wards</w:t>
      </w:r>
      <w:r w:rsidR="007F79EA">
        <w:rPr>
          <w:rFonts w:cs="Arial"/>
        </w:rPr>
        <w:t>)</w:t>
      </w:r>
      <w:r>
        <w:rPr>
          <w:rFonts w:cs="Arial"/>
        </w:rPr>
        <w:t>.</w:t>
      </w:r>
    </w:p>
    <w:p w:rsidR="0040603B" w:rsidRDefault="0040603B" w:rsidP="002330F5">
      <w:pPr>
        <w:rPr>
          <w:rFonts w:cs="Arial"/>
        </w:rPr>
      </w:pPr>
    </w:p>
    <w:p w:rsidR="0040603B" w:rsidRDefault="0040603B" w:rsidP="002330F5">
      <w:pPr>
        <w:rPr>
          <w:rFonts w:cs="Arial"/>
        </w:rPr>
      </w:pPr>
      <w:r>
        <w:rPr>
          <w:rFonts w:cs="Arial"/>
        </w:rPr>
        <w:t xml:space="preserve">Representations were received from 3 members of the public in relation to Polling Districts EGB, requesting that the polling stations be moved from Cedar’s Children Centre, EJB that the polling station be moved from </w:t>
      </w:r>
      <w:proofErr w:type="spellStart"/>
      <w:r>
        <w:rPr>
          <w:rFonts w:cs="Arial"/>
        </w:rPr>
        <w:t>Whitefriars</w:t>
      </w:r>
      <w:proofErr w:type="spellEnd"/>
      <w:r>
        <w:rPr>
          <w:rFonts w:cs="Arial"/>
        </w:rPr>
        <w:t xml:space="preserve"> Children Centre Delivery Site and that EJA polling district should be split.</w:t>
      </w:r>
    </w:p>
    <w:p w:rsidR="00600FBE" w:rsidRDefault="00600FBE" w:rsidP="002330F5">
      <w:pPr>
        <w:rPr>
          <w:rFonts w:cs="Arial"/>
        </w:rPr>
      </w:pPr>
    </w:p>
    <w:p w:rsidR="00F5679A" w:rsidRDefault="002330F5" w:rsidP="002330F5">
      <w:pPr>
        <w:rPr>
          <w:rFonts w:cs="Arial"/>
        </w:rPr>
      </w:pPr>
      <w:r>
        <w:rPr>
          <w:rFonts w:cs="Arial"/>
        </w:rPr>
        <w:t xml:space="preserve">The Working Group met </w:t>
      </w:r>
      <w:proofErr w:type="gramStart"/>
      <w:r>
        <w:rPr>
          <w:rFonts w:cs="Arial"/>
        </w:rPr>
        <w:t>on</w:t>
      </w:r>
      <w:r w:rsidR="004A4713">
        <w:rPr>
          <w:rFonts w:cs="Arial"/>
        </w:rPr>
        <w:t xml:space="preserve">  </w:t>
      </w:r>
      <w:r w:rsidR="006A46E1">
        <w:rPr>
          <w:rFonts w:cs="Arial"/>
        </w:rPr>
        <w:t>13</w:t>
      </w:r>
      <w:proofErr w:type="gramEnd"/>
      <w:r w:rsidR="006A46E1">
        <w:rPr>
          <w:rFonts w:cs="Arial"/>
        </w:rPr>
        <w:t xml:space="preserve"> July and 9 October 2019 to consider</w:t>
      </w:r>
      <w:r w:rsidR="004A4713" w:rsidRPr="006D20B4">
        <w:rPr>
          <w:rFonts w:cs="Arial"/>
        </w:rPr>
        <w:t xml:space="preserve">        </w:t>
      </w:r>
      <w:r w:rsidR="004A4713">
        <w:rPr>
          <w:rFonts w:cs="Arial"/>
        </w:rPr>
        <w:t xml:space="preserve"> </w:t>
      </w:r>
      <w:r>
        <w:rPr>
          <w:rFonts w:cs="Arial"/>
        </w:rPr>
        <w:t xml:space="preserve">  </w:t>
      </w:r>
      <w:r w:rsidR="004A4713">
        <w:rPr>
          <w:rFonts w:cs="Arial"/>
        </w:rPr>
        <w:t xml:space="preserve">                        </w:t>
      </w:r>
      <w:r>
        <w:rPr>
          <w:rFonts w:cs="Arial"/>
        </w:rPr>
        <w:t xml:space="preserve">  </w:t>
      </w:r>
      <w:r w:rsidR="00F5679A">
        <w:rPr>
          <w:rFonts w:cs="Arial"/>
        </w:rPr>
        <w:t xml:space="preserve">(a) </w:t>
      </w:r>
      <w:r>
        <w:rPr>
          <w:rFonts w:cs="Arial"/>
        </w:rPr>
        <w:t xml:space="preserve">the </w:t>
      </w:r>
      <w:r w:rsidR="00F5679A">
        <w:rPr>
          <w:rFonts w:cs="Arial"/>
        </w:rPr>
        <w:t xml:space="preserve">representations made by the Returning Officer  as to the location of existing and proposed polling stations within the existing and proposed polling places and (b) to consider all representations made on the review and any </w:t>
      </w:r>
      <w:r w:rsidR="006A46E1">
        <w:rPr>
          <w:rFonts w:cs="Arial"/>
        </w:rPr>
        <w:t xml:space="preserve">other </w:t>
      </w:r>
      <w:r w:rsidR="00F5679A">
        <w:rPr>
          <w:rFonts w:cs="Arial"/>
        </w:rPr>
        <w:t>comments received on the Returning Officer’s representations.</w:t>
      </w:r>
    </w:p>
    <w:p w:rsidR="00F5679A" w:rsidRDefault="00F5679A" w:rsidP="002330F5">
      <w:pPr>
        <w:rPr>
          <w:rFonts w:cs="Arial"/>
        </w:rPr>
      </w:pPr>
    </w:p>
    <w:p w:rsidR="00600FBE" w:rsidRDefault="0040603B" w:rsidP="002330F5">
      <w:pPr>
        <w:rPr>
          <w:rFonts w:cs="Arial"/>
        </w:rPr>
      </w:pPr>
      <w:r>
        <w:rPr>
          <w:rFonts w:cs="Arial"/>
        </w:rPr>
        <w:t xml:space="preserve">The Working Group </w:t>
      </w:r>
      <w:r w:rsidR="00ED68DF">
        <w:rPr>
          <w:rFonts w:cs="Arial"/>
        </w:rPr>
        <w:t xml:space="preserve">agreed to recommend </w:t>
      </w:r>
      <w:r>
        <w:rPr>
          <w:rFonts w:cs="Arial"/>
        </w:rPr>
        <w:t xml:space="preserve">that in view of the larger piece of work to be undertaken following the receipt of the final recommendations from the LGBCE that no changes should be made </w:t>
      </w:r>
      <w:r w:rsidR="00ED68DF">
        <w:rPr>
          <w:rFonts w:cs="Arial"/>
        </w:rPr>
        <w:t xml:space="preserve">to the current arrangements </w:t>
      </w:r>
      <w:r>
        <w:rPr>
          <w:rFonts w:cs="Arial"/>
        </w:rPr>
        <w:t>and that the recommendations as set out in Appendix A should be made to the Committee for approval.</w:t>
      </w:r>
    </w:p>
    <w:p w:rsidR="002A2389" w:rsidRDefault="002A2389">
      <w:pPr>
        <w:rPr>
          <w:rFonts w:cs="Arial"/>
        </w:rPr>
      </w:pPr>
    </w:p>
    <w:p w:rsidR="00ED68DF" w:rsidRPr="00ED68DF" w:rsidRDefault="00ED68DF">
      <w:r>
        <w:rPr>
          <w:rFonts w:cs="Arial"/>
        </w:rPr>
        <w:t>The Working Group request</w:t>
      </w:r>
      <w:r w:rsidR="006A46E1">
        <w:rPr>
          <w:rFonts w:cs="Arial"/>
        </w:rPr>
        <w:t>s</w:t>
      </w:r>
      <w:r>
        <w:rPr>
          <w:rFonts w:cs="Arial"/>
        </w:rPr>
        <w:t xml:space="preserve"> that the Committee note that work will now commence o</w:t>
      </w:r>
      <w:r w:rsidR="00F57DCF">
        <w:rPr>
          <w:rFonts w:cs="Arial"/>
        </w:rPr>
        <w:t>n</w:t>
      </w:r>
      <w:r>
        <w:rPr>
          <w:rFonts w:cs="Arial"/>
        </w:rPr>
        <w:t xml:space="preserve"> the future polling district and polling places arrangements following the publication of the final recommendations from the LGBCE.</w:t>
      </w:r>
      <w:r w:rsidR="006A46E1">
        <w:rPr>
          <w:rFonts w:cs="Arial"/>
        </w:rPr>
        <w:t xml:space="preserve"> Recommendations will in due course be submitted to the Committee for consideration and approval.</w:t>
      </w:r>
    </w:p>
    <w:p w:rsidR="00ED68DF" w:rsidRDefault="00ED68DF">
      <w:pPr>
        <w:rPr>
          <w:color w:val="0000FF"/>
        </w:rPr>
      </w:pPr>
    </w:p>
    <w:p w:rsidR="00ED68DF" w:rsidRDefault="00ED68DF">
      <w:pPr>
        <w:rPr>
          <w:color w:val="0000FF"/>
        </w:rPr>
      </w:pPr>
    </w:p>
    <w:p w:rsidR="00ED68DF" w:rsidRDefault="00ED68DF">
      <w:pPr>
        <w:rPr>
          <w:color w:val="0000FF"/>
        </w:rPr>
      </w:pPr>
    </w:p>
    <w:p w:rsidR="00ED68DF" w:rsidRDefault="00ED68DF">
      <w:pPr>
        <w:rPr>
          <w:color w:val="0000FF"/>
        </w:rPr>
      </w:pPr>
    </w:p>
    <w:p w:rsidR="00ED68DF" w:rsidRDefault="00ED68DF">
      <w:pPr>
        <w:rPr>
          <w:color w:val="0000FF"/>
        </w:rPr>
      </w:pPr>
    </w:p>
    <w:p w:rsidR="004A4713" w:rsidRDefault="004A4713">
      <w:pPr>
        <w:rPr>
          <w:color w:val="0000FF"/>
        </w:rPr>
      </w:pPr>
    </w:p>
    <w:p w:rsidR="00213BE7" w:rsidRDefault="00213BE7" w:rsidP="00213BE7">
      <w:pPr>
        <w:pStyle w:val="Heading2"/>
      </w:pPr>
      <w:r>
        <w:t>Legal Implications</w:t>
      </w:r>
    </w:p>
    <w:p w:rsidR="003D126E" w:rsidRPr="008B5684" w:rsidRDefault="003D126E" w:rsidP="003D126E">
      <w:pPr>
        <w:pStyle w:val="Heading4"/>
        <w:keepNext w:val="0"/>
        <w:rPr>
          <w:b w:val="0"/>
        </w:rPr>
      </w:pPr>
    </w:p>
    <w:p w:rsidR="003D126E" w:rsidRPr="008B5684" w:rsidRDefault="00412B19" w:rsidP="003D126E">
      <w:pPr>
        <w:pStyle w:val="Heading4"/>
        <w:keepNext w:val="0"/>
      </w:pPr>
      <w:r w:rsidRPr="008B5684">
        <w:rPr>
          <w:b w:val="0"/>
        </w:rPr>
        <w:t>Under s.18C of the Representation of the People Act 1983, t</w:t>
      </w:r>
      <w:r w:rsidR="003D126E" w:rsidRPr="008B5684">
        <w:rPr>
          <w:b w:val="0"/>
        </w:rPr>
        <w:t>he Council has a legal duty to undertake</w:t>
      </w:r>
      <w:r w:rsidRPr="008B5684">
        <w:rPr>
          <w:b w:val="0"/>
        </w:rPr>
        <w:t xml:space="preserve"> a review of polling districts and places every five years. This requirement was introduced </w:t>
      </w:r>
      <w:r w:rsidR="003D126E" w:rsidRPr="008B5684">
        <w:rPr>
          <w:b w:val="0"/>
        </w:rPr>
        <w:t>in accordance with the provisions Electoral Registration and Administration Act 2013</w:t>
      </w:r>
      <w:r w:rsidRPr="008B5684">
        <w:rPr>
          <w:b w:val="0"/>
        </w:rPr>
        <w:t>, with the first review having taken place in November 2014</w:t>
      </w:r>
      <w:r w:rsidR="006D20B4" w:rsidRPr="008B5684">
        <w:rPr>
          <w:b w:val="0"/>
        </w:rPr>
        <w:t>.</w:t>
      </w:r>
      <w:r w:rsidRPr="008B5684">
        <w:rPr>
          <w:b w:val="0"/>
        </w:rPr>
        <w:t xml:space="preserve"> Each review must be completed within 16 months of 1 </w:t>
      </w:r>
      <w:r w:rsidR="00CC3875" w:rsidRPr="008B5684">
        <w:rPr>
          <w:b w:val="0"/>
        </w:rPr>
        <w:t>October every</w:t>
      </w:r>
      <w:r w:rsidRPr="008B5684">
        <w:rPr>
          <w:b w:val="0"/>
        </w:rPr>
        <w:t xml:space="preserve"> five years, starting with 1 October 2013. The current review must be completed within 16 months of 1 October 2018 i.e. by 31 January 2020.</w:t>
      </w:r>
    </w:p>
    <w:p w:rsidR="00213BE7" w:rsidRDefault="00213BE7">
      <w:pPr>
        <w:pStyle w:val="Heading2"/>
      </w:pPr>
      <w:bookmarkStart w:id="1" w:name="_GoBack"/>
      <w:bookmarkEnd w:id="1"/>
    </w:p>
    <w:p w:rsidR="002A2389" w:rsidRDefault="002A2389">
      <w:pPr>
        <w:pStyle w:val="Heading2"/>
      </w:pPr>
      <w:r>
        <w:t>Financial Implications</w:t>
      </w:r>
    </w:p>
    <w:p w:rsidR="002C1794" w:rsidRDefault="002C1794"/>
    <w:p w:rsidR="00FF71E5" w:rsidRDefault="003D126E" w:rsidP="00FF71E5">
      <w:pPr>
        <w:rPr>
          <w:rFonts w:cs="Arial"/>
        </w:rPr>
      </w:pPr>
      <w:r>
        <w:t>No funding is available from Central Government to undertake the review.  Therefore, all costs associated with the review will be met from within the current Electoral Services budget</w:t>
      </w:r>
    </w:p>
    <w:p w:rsidR="00FF71E5" w:rsidRDefault="00FF71E5"/>
    <w:p w:rsidR="00C32DAE" w:rsidRDefault="00C32DAE" w:rsidP="00E02B50">
      <w:pPr>
        <w:pStyle w:val="Heading2"/>
      </w:pPr>
      <w:r>
        <w:t>Risk Management Implications</w:t>
      </w:r>
    </w:p>
    <w:p w:rsidR="00C32DAE" w:rsidRDefault="00C32DAE" w:rsidP="00C32DAE">
      <w:pPr>
        <w:pStyle w:val="Heading1"/>
        <w:rPr>
          <w:b/>
          <w:sz w:val="24"/>
          <w:szCs w:val="24"/>
        </w:rPr>
      </w:pPr>
    </w:p>
    <w:p w:rsidR="00DD4251" w:rsidRPr="003D126E" w:rsidRDefault="003D126E" w:rsidP="003D126E">
      <w:pPr>
        <w:pStyle w:val="infotext0"/>
        <w:spacing w:before="0" w:beforeAutospacing="0" w:after="0" w:afterAutospacing="0"/>
        <w:ind w:right="81"/>
        <w:rPr>
          <w:rFonts w:ascii="Arial" w:hAnsi="Arial" w:cs="Arial"/>
        </w:rPr>
      </w:pPr>
      <w:r w:rsidRPr="003D126E">
        <w:rPr>
          <w:rFonts w:ascii="Arial" w:hAnsi="Arial" w:cs="Arial"/>
        </w:rPr>
        <w:t>The duty to undertake the review is not included in the Directorate</w:t>
      </w:r>
      <w:r w:rsidR="00DD4251" w:rsidRPr="003D126E">
        <w:rPr>
          <w:rFonts w:ascii="Arial" w:hAnsi="Arial" w:cs="Arial"/>
        </w:rPr>
        <w:t xml:space="preserve"> risk register</w:t>
      </w:r>
      <w:r w:rsidR="006D20B4">
        <w:rPr>
          <w:rFonts w:ascii="Arial" w:hAnsi="Arial" w:cs="Arial"/>
        </w:rPr>
        <w:t>.</w:t>
      </w:r>
    </w:p>
    <w:p w:rsidR="00DD4251" w:rsidRPr="00DD4251" w:rsidRDefault="00DD4251" w:rsidP="00DD4251">
      <w:pPr>
        <w:ind w:right="141"/>
        <w:rPr>
          <w:rFonts w:cs="Arial"/>
          <w:szCs w:val="24"/>
          <w:lang w:val="en-US" w:eastAsia="en-GB"/>
        </w:rPr>
      </w:pPr>
      <w:r w:rsidRPr="00DD4251">
        <w:rPr>
          <w:rFonts w:cs="Arial"/>
          <w:szCs w:val="24"/>
          <w:lang w:val="en-US" w:eastAsia="en-GB"/>
        </w:rPr>
        <w:t> </w:t>
      </w:r>
    </w:p>
    <w:p w:rsidR="00FD31A0" w:rsidRPr="004A2543" w:rsidRDefault="00FD31A0" w:rsidP="00FD31A0">
      <w:pPr>
        <w:pStyle w:val="Heading2"/>
        <w:keepNext/>
      </w:pPr>
      <w:r w:rsidRPr="004A2543">
        <w:t>Equalities implications</w:t>
      </w:r>
      <w:r w:rsidR="00213BE7">
        <w:t xml:space="preserve"> / Public Sector Equality Duty </w:t>
      </w:r>
    </w:p>
    <w:p w:rsidR="00FD31A0" w:rsidRDefault="00FD31A0" w:rsidP="00FD31A0">
      <w:pPr>
        <w:keepNext/>
      </w:pPr>
    </w:p>
    <w:p w:rsidR="00FD31A0" w:rsidRPr="004A2543" w:rsidRDefault="003D126E" w:rsidP="00FD31A0">
      <w:r>
        <w:t>An Equalities Impact Assessment (</w:t>
      </w:r>
      <w:proofErr w:type="spellStart"/>
      <w:r>
        <w:t>EqIA</w:t>
      </w:r>
      <w:proofErr w:type="spellEnd"/>
      <w:r>
        <w:t>) has been completed and no potential disproportionate impact has been identified.</w:t>
      </w:r>
    </w:p>
    <w:p w:rsidR="00FD31A0" w:rsidRDefault="00FD31A0" w:rsidP="00FD31A0">
      <w:pPr>
        <w:ind w:right="141"/>
        <w:rPr>
          <w:rFonts w:cs="Arial"/>
          <w:szCs w:val="24"/>
          <w:lang w:val="en-US"/>
        </w:rPr>
      </w:pPr>
    </w:p>
    <w:p w:rsidR="004B4A47" w:rsidRPr="00CD57D8" w:rsidRDefault="00AC0AAB" w:rsidP="004B4A47">
      <w:pPr>
        <w:pStyle w:val="Heading2"/>
      </w:pPr>
      <w:r>
        <w:t xml:space="preserve">Council </w:t>
      </w:r>
      <w:r w:rsidR="004B4A47" w:rsidRPr="00CD57D8">
        <w:t>Priorities</w:t>
      </w:r>
    </w:p>
    <w:p w:rsidR="004B4A47" w:rsidRDefault="004B4A47" w:rsidP="004B4A47">
      <w:pPr>
        <w:keepNext/>
        <w:ind w:right="144"/>
        <w:rPr>
          <w:rFonts w:cs="Arial"/>
          <w:szCs w:val="24"/>
          <w:lang w:val="en-US"/>
        </w:rPr>
      </w:pPr>
    </w:p>
    <w:p w:rsidR="003D126E" w:rsidRPr="003D126E" w:rsidRDefault="003D126E" w:rsidP="003D126E">
      <w:pPr>
        <w:keepNext/>
        <w:ind w:right="144"/>
        <w:rPr>
          <w:rFonts w:cs="Arial"/>
          <w:szCs w:val="24"/>
          <w:lang w:val="en-US"/>
        </w:rPr>
      </w:pPr>
      <w:r>
        <w:rPr>
          <w:rFonts w:cs="Arial"/>
          <w:szCs w:val="24"/>
          <w:lang w:val="en-US"/>
        </w:rPr>
        <w:t>The accessibility of polling stations enabling all eligible residents to engage in the democratic process contributes to the creating an inclusive and vibrant Harrow,</w:t>
      </w:r>
      <w:r w:rsidR="00EF2F91" w:rsidRPr="00CD57D8">
        <w:rPr>
          <w:rFonts w:cs="Arial"/>
          <w:szCs w:val="24"/>
          <w:lang w:val="en-US"/>
        </w:rPr>
        <w:t xml:space="preserve"> </w:t>
      </w:r>
      <w:r w:rsidR="00BD3815">
        <w:rPr>
          <w:rFonts w:cs="Arial"/>
          <w:szCs w:val="24"/>
          <w:lang w:val="en-US"/>
        </w:rPr>
        <w:t>a</w:t>
      </w:r>
      <w:r w:rsidRPr="00400032">
        <w:t xml:space="preserve"> strong and resourceful community sector, able to come together to deal with local issues</w:t>
      </w:r>
      <w:r w:rsidR="00BD3815">
        <w:t>.</w:t>
      </w:r>
    </w:p>
    <w:p w:rsidR="00EF2F91" w:rsidRPr="00400032" w:rsidRDefault="00EF2F91" w:rsidP="00EF2F91"/>
    <w:p w:rsidR="006E3200"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2A2389" w:rsidRDefault="002A2389" w:rsidP="008D1750">
      <w:pPr>
        <w:pStyle w:val="Heading1"/>
        <w:keepNext/>
      </w:pPr>
      <w:r>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rsidTr="003D126E">
        <w:tc>
          <w:tcPr>
            <w:tcW w:w="2792"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r>
              <w:t>on behalf of the*</w:t>
            </w:r>
          </w:p>
        </w:tc>
      </w:tr>
      <w:tr w:rsidR="002A2389" w:rsidTr="003D126E">
        <w:tc>
          <w:tcPr>
            <w:tcW w:w="2792" w:type="pct"/>
            <w:tcBorders>
              <w:top w:val="nil"/>
              <w:bottom w:val="nil"/>
            </w:tcBorders>
          </w:tcPr>
          <w:p w:rsidR="002A2389" w:rsidRDefault="002A2389" w:rsidP="00E8515B">
            <w:pPr>
              <w:pStyle w:val="Infotext"/>
            </w:pPr>
            <w:r>
              <w:t>Name:</w:t>
            </w:r>
            <w:r w:rsidR="00E8515B">
              <w:t xml:space="preserve">  </w:t>
            </w:r>
            <w:r w:rsidR="003D28B8">
              <w:t>Sharon Daniels</w:t>
            </w:r>
          </w:p>
        </w:tc>
        <w:tc>
          <w:tcPr>
            <w:tcW w:w="138" w:type="pct"/>
            <w:tcBorders>
              <w:bottom w:val="single" w:sz="4" w:space="0" w:color="auto"/>
            </w:tcBorders>
          </w:tcPr>
          <w:p w:rsidR="002A2389" w:rsidRDefault="003D28B8">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rsidTr="003D126E">
        <w:tc>
          <w:tcPr>
            <w:tcW w:w="2792" w:type="pct"/>
            <w:tcBorders>
              <w:top w:val="nil"/>
              <w:right w:val="nil"/>
            </w:tcBorders>
          </w:tcPr>
          <w:p w:rsidR="002A2389" w:rsidRDefault="002A2389">
            <w:pPr>
              <w:pStyle w:val="Infotext"/>
            </w:pPr>
            <w:r>
              <w:t xml:space="preserve"> </w:t>
            </w:r>
          </w:p>
          <w:p w:rsidR="002A2389" w:rsidRDefault="002A2389" w:rsidP="00E8515B">
            <w:pPr>
              <w:pStyle w:val="Infotext"/>
            </w:pPr>
            <w:r>
              <w:t xml:space="preserve">Date: </w:t>
            </w:r>
            <w:r w:rsidR="00E8515B">
              <w:t xml:space="preserve"> </w:t>
            </w:r>
            <w:r w:rsidR="003D28B8">
              <w:t>23 December 2019</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rsidTr="003D126E">
        <w:tc>
          <w:tcPr>
            <w:tcW w:w="2792" w:type="pct"/>
            <w:tcBorders>
              <w:bottom w:val="nil"/>
              <w:right w:val="nil"/>
            </w:tcBorders>
          </w:tcPr>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r>
              <w:t>on behalf of the*</w:t>
            </w:r>
          </w:p>
        </w:tc>
      </w:tr>
      <w:tr w:rsidR="002A2389" w:rsidTr="003D126E">
        <w:tc>
          <w:tcPr>
            <w:tcW w:w="2792" w:type="pct"/>
            <w:tcBorders>
              <w:top w:val="nil"/>
              <w:bottom w:val="nil"/>
            </w:tcBorders>
          </w:tcPr>
          <w:p w:rsidR="002A2389" w:rsidRDefault="002A2389" w:rsidP="00E8515B">
            <w:pPr>
              <w:pStyle w:val="Infotext"/>
            </w:pPr>
            <w:r>
              <w:t xml:space="preserve">Name: </w:t>
            </w:r>
            <w:r w:rsidR="00E8515B">
              <w:t xml:space="preserve"> </w:t>
            </w:r>
            <w:r w:rsidR="003D28B8">
              <w:t>Caroline Eccles</w:t>
            </w:r>
          </w:p>
        </w:tc>
        <w:tc>
          <w:tcPr>
            <w:tcW w:w="138" w:type="pct"/>
            <w:tcBorders>
              <w:bottom w:val="single" w:sz="4" w:space="0" w:color="auto"/>
            </w:tcBorders>
          </w:tcPr>
          <w:p w:rsidR="002A2389" w:rsidRDefault="003D28B8">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rsidTr="003D126E">
        <w:tc>
          <w:tcPr>
            <w:tcW w:w="2792" w:type="pct"/>
            <w:tcBorders>
              <w:top w:val="nil"/>
              <w:right w:val="nil"/>
            </w:tcBorders>
          </w:tcPr>
          <w:p w:rsidR="002A2389" w:rsidRDefault="002A2389">
            <w:pPr>
              <w:pStyle w:val="Infotext"/>
            </w:pPr>
          </w:p>
          <w:p w:rsidR="002A2389" w:rsidRDefault="002A2389" w:rsidP="00E8515B">
            <w:pPr>
              <w:pStyle w:val="Infotext"/>
            </w:pPr>
            <w:r>
              <w:t xml:space="preserve">Date: </w:t>
            </w:r>
            <w:r w:rsidR="00E8515B">
              <w:t xml:space="preserve"> </w:t>
            </w:r>
            <w:r w:rsidR="003D28B8">
              <w:t>23 December 2019</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13BE7" w:rsidRDefault="00213B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383"/>
        <w:gridCol w:w="234"/>
        <w:gridCol w:w="3591"/>
      </w:tblGrid>
      <w:tr w:rsidR="00213BE7" w:rsidTr="000A6659">
        <w:tc>
          <w:tcPr>
            <w:tcW w:w="4752" w:type="dxa"/>
            <w:tcBorders>
              <w:bottom w:val="nil"/>
              <w:right w:val="nil"/>
            </w:tcBorders>
          </w:tcPr>
          <w:p w:rsidR="00213BE7" w:rsidRDefault="00213BE7" w:rsidP="000A6659">
            <w:pPr>
              <w:pStyle w:val="Infotext"/>
            </w:pPr>
          </w:p>
        </w:tc>
        <w:tc>
          <w:tcPr>
            <w:tcW w:w="387" w:type="dxa"/>
            <w:tcBorders>
              <w:left w:val="nil"/>
              <w:right w:val="nil"/>
            </w:tcBorders>
          </w:tcPr>
          <w:p w:rsidR="00213BE7" w:rsidRDefault="00213BE7" w:rsidP="000A6659">
            <w:pPr>
              <w:pStyle w:val="Infotext"/>
            </w:pPr>
          </w:p>
        </w:tc>
        <w:tc>
          <w:tcPr>
            <w:tcW w:w="236" w:type="dxa"/>
            <w:tcBorders>
              <w:left w:val="nil"/>
              <w:bottom w:val="nil"/>
              <w:right w:val="nil"/>
            </w:tcBorders>
          </w:tcPr>
          <w:p w:rsidR="00213BE7" w:rsidRDefault="00213BE7" w:rsidP="000A6659">
            <w:pPr>
              <w:pStyle w:val="Infotext"/>
            </w:pPr>
          </w:p>
        </w:tc>
        <w:tc>
          <w:tcPr>
            <w:tcW w:w="3890" w:type="dxa"/>
            <w:tcBorders>
              <w:left w:val="nil"/>
              <w:bottom w:val="nil"/>
            </w:tcBorders>
          </w:tcPr>
          <w:p w:rsidR="00213BE7" w:rsidRDefault="00213BE7" w:rsidP="000A6659">
            <w:pPr>
              <w:pStyle w:val="Infotext"/>
            </w:pPr>
          </w:p>
          <w:p w:rsidR="00213BE7" w:rsidRDefault="00213BE7" w:rsidP="000A6659">
            <w:pPr>
              <w:pStyle w:val="Infotext"/>
            </w:pPr>
          </w:p>
        </w:tc>
      </w:tr>
      <w:tr w:rsidR="00213BE7" w:rsidTr="000A6659">
        <w:tc>
          <w:tcPr>
            <w:tcW w:w="4752" w:type="dxa"/>
            <w:tcBorders>
              <w:top w:val="nil"/>
              <w:bottom w:val="nil"/>
            </w:tcBorders>
          </w:tcPr>
          <w:p w:rsidR="00213BE7" w:rsidRDefault="00213BE7" w:rsidP="00E8515B">
            <w:pPr>
              <w:pStyle w:val="Infotext"/>
            </w:pPr>
            <w:r>
              <w:t xml:space="preserve">Name: </w:t>
            </w:r>
            <w:r w:rsidR="00E8515B">
              <w:t xml:space="preserve"> </w:t>
            </w:r>
            <w:r w:rsidR="00965434">
              <w:t>Charlie Stewart</w:t>
            </w:r>
          </w:p>
        </w:tc>
        <w:tc>
          <w:tcPr>
            <w:tcW w:w="387" w:type="dxa"/>
            <w:tcBorders>
              <w:bottom w:val="single" w:sz="4" w:space="0" w:color="auto"/>
            </w:tcBorders>
          </w:tcPr>
          <w:p w:rsidR="00213BE7" w:rsidRDefault="00965434" w:rsidP="000A6659">
            <w:pPr>
              <w:pStyle w:val="Infotext"/>
            </w:pPr>
            <w:r>
              <w:t>x</w:t>
            </w:r>
          </w:p>
        </w:tc>
        <w:tc>
          <w:tcPr>
            <w:tcW w:w="236" w:type="dxa"/>
            <w:tcBorders>
              <w:top w:val="nil"/>
              <w:bottom w:val="nil"/>
              <w:right w:val="nil"/>
            </w:tcBorders>
          </w:tcPr>
          <w:p w:rsidR="00213BE7" w:rsidRDefault="00213BE7" w:rsidP="000A6659">
            <w:pPr>
              <w:pStyle w:val="Infotext"/>
            </w:pPr>
          </w:p>
        </w:tc>
        <w:tc>
          <w:tcPr>
            <w:tcW w:w="3890" w:type="dxa"/>
            <w:tcBorders>
              <w:top w:val="nil"/>
              <w:left w:val="nil"/>
              <w:bottom w:val="nil"/>
            </w:tcBorders>
          </w:tcPr>
          <w:p w:rsidR="00213BE7" w:rsidRDefault="00213BE7" w:rsidP="000A6659">
            <w:pPr>
              <w:pStyle w:val="Infotext"/>
            </w:pPr>
            <w:r>
              <w:t>Corporate Director</w:t>
            </w:r>
          </w:p>
        </w:tc>
      </w:tr>
      <w:tr w:rsidR="00213BE7" w:rsidTr="000A6659">
        <w:tc>
          <w:tcPr>
            <w:tcW w:w="4752" w:type="dxa"/>
            <w:tcBorders>
              <w:top w:val="nil"/>
              <w:right w:val="nil"/>
            </w:tcBorders>
          </w:tcPr>
          <w:p w:rsidR="00213BE7" w:rsidRDefault="00213BE7" w:rsidP="000A6659">
            <w:pPr>
              <w:pStyle w:val="Infotext"/>
            </w:pPr>
            <w:r>
              <w:t xml:space="preserve"> </w:t>
            </w:r>
          </w:p>
          <w:p w:rsidR="00213BE7" w:rsidRDefault="00213BE7" w:rsidP="00E8515B">
            <w:pPr>
              <w:pStyle w:val="Infotext"/>
            </w:pPr>
            <w:r>
              <w:t xml:space="preserve">Date: </w:t>
            </w:r>
            <w:r w:rsidR="00E8515B">
              <w:t xml:space="preserve"> </w:t>
            </w:r>
            <w:r w:rsidR="00965434">
              <w:t>6 January 2020</w:t>
            </w:r>
          </w:p>
          <w:p w:rsidR="003D126E" w:rsidRDefault="003D126E" w:rsidP="00E8515B">
            <w:pPr>
              <w:pStyle w:val="Infotext"/>
            </w:pPr>
          </w:p>
        </w:tc>
        <w:tc>
          <w:tcPr>
            <w:tcW w:w="387" w:type="dxa"/>
            <w:tcBorders>
              <w:left w:val="nil"/>
              <w:bottom w:val="single" w:sz="4" w:space="0" w:color="auto"/>
              <w:right w:val="nil"/>
            </w:tcBorders>
          </w:tcPr>
          <w:p w:rsidR="00213BE7" w:rsidRDefault="00213BE7" w:rsidP="000A6659">
            <w:pPr>
              <w:pStyle w:val="Infotext"/>
            </w:pPr>
          </w:p>
        </w:tc>
        <w:tc>
          <w:tcPr>
            <w:tcW w:w="236" w:type="dxa"/>
            <w:tcBorders>
              <w:top w:val="nil"/>
              <w:left w:val="nil"/>
              <w:right w:val="nil"/>
            </w:tcBorders>
          </w:tcPr>
          <w:p w:rsidR="00213BE7" w:rsidRDefault="00213BE7" w:rsidP="000A6659">
            <w:pPr>
              <w:pStyle w:val="Infotext"/>
            </w:pPr>
          </w:p>
        </w:tc>
        <w:tc>
          <w:tcPr>
            <w:tcW w:w="3890" w:type="dxa"/>
            <w:tcBorders>
              <w:top w:val="nil"/>
              <w:left w:val="nil"/>
            </w:tcBorders>
          </w:tcPr>
          <w:p w:rsidR="00213BE7" w:rsidRDefault="00213BE7" w:rsidP="000A6659">
            <w:pPr>
              <w:pStyle w:val="Infotext"/>
            </w:pPr>
          </w:p>
        </w:tc>
      </w:tr>
    </w:tbl>
    <w:p w:rsidR="00213BE7" w:rsidRDefault="00213BE7"/>
    <w:p w:rsidR="000B0E6F" w:rsidRDefault="000B0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0B0E6F">
        <w:trPr>
          <w:trHeight w:val="965"/>
        </w:trPr>
        <w:tc>
          <w:tcPr>
            <w:tcW w:w="3025" w:type="pct"/>
            <w:tcBorders>
              <w:right w:val="nil"/>
            </w:tcBorders>
          </w:tcPr>
          <w:p w:rsidR="006E3200" w:rsidRDefault="006E3200" w:rsidP="008D7800">
            <w:pPr>
              <w:pStyle w:val="Infotext"/>
              <w:rPr>
                <w:rFonts w:ascii="Arial Black" w:hAnsi="Arial Black"/>
              </w:rPr>
            </w:pPr>
          </w:p>
          <w:p w:rsidR="000B0E6F" w:rsidRDefault="000B0E6F" w:rsidP="008D7800">
            <w:pPr>
              <w:pStyle w:val="Infotext"/>
              <w:rPr>
                <w:rFonts w:ascii="Arial Black" w:hAnsi="Arial Black"/>
              </w:rPr>
            </w:pPr>
            <w:r>
              <w:rPr>
                <w:rFonts w:ascii="Arial Black" w:hAnsi="Arial Black"/>
              </w:rPr>
              <w:t>Ward Councillors notified:</w:t>
            </w:r>
          </w:p>
          <w:p w:rsidR="000B0E6F" w:rsidRDefault="000B0E6F" w:rsidP="008D7800">
            <w:pPr>
              <w:pStyle w:val="Infotext"/>
            </w:pPr>
          </w:p>
        </w:tc>
        <w:tc>
          <w:tcPr>
            <w:tcW w:w="1975" w:type="pct"/>
            <w:tcBorders>
              <w:left w:val="nil"/>
            </w:tcBorders>
          </w:tcPr>
          <w:p w:rsidR="000B0E6F" w:rsidRDefault="000B0E6F" w:rsidP="008D7800">
            <w:pPr>
              <w:pStyle w:val="Infotext"/>
            </w:pPr>
          </w:p>
          <w:p w:rsidR="000B0E6F" w:rsidRPr="00A406F3" w:rsidRDefault="000B0E6F" w:rsidP="008D7800">
            <w:pPr>
              <w:pStyle w:val="Infotext"/>
              <w:spacing w:before="120"/>
              <w:rPr>
                <w:b/>
              </w:rPr>
            </w:pPr>
            <w:r w:rsidRPr="00A406F3">
              <w:rPr>
                <w:b/>
              </w:rPr>
              <w:t xml:space="preserve">YES </w:t>
            </w:r>
          </w:p>
          <w:p w:rsidR="000B0E6F" w:rsidRPr="003D78F6" w:rsidRDefault="000B0E6F" w:rsidP="003D126E">
            <w:pPr>
              <w:pStyle w:val="Infotext"/>
              <w:rPr>
                <w:i/>
                <w:sz w:val="24"/>
                <w:szCs w:val="24"/>
              </w:rPr>
            </w:pPr>
          </w:p>
        </w:tc>
      </w:tr>
    </w:tbl>
    <w:p w:rsidR="000B0E6F" w:rsidRDefault="000B0E6F"/>
    <w:p w:rsidR="000B0E6F" w:rsidRDefault="000B0E6F"/>
    <w:p w:rsidR="002A2389" w:rsidRDefault="002A2389" w:rsidP="008D1750">
      <w:pPr>
        <w:pStyle w:val="Heading1"/>
        <w:keepNext/>
      </w:pPr>
      <w:r>
        <w:t>Section 4 - Contact Details and Background Papers</w:t>
      </w:r>
    </w:p>
    <w:p w:rsidR="002A2389" w:rsidRDefault="002A2389" w:rsidP="008D1750">
      <w:pPr>
        <w:keepNext/>
        <w:rPr>
          <w:rFonts w:cs="Arial"/>
        </w:rPr>
      </w:pPr>
    </w:p>
    <w:p w:rsidR="003D126E" w:rsidRDefault="002A2389" w:rsidP="003D126E">
      <w:pPr>
        <w:pStyle w:val="Infotext"/>
        <w:rPr>
          <w:sz w:val="24"/>
          <w:szCs w:val="24"/>
        </w:rPr>
      </w:pPr>
      <w:r w:rsidRPr="00D914D2">
        <w:rPr>
          <w:b/>
        </w:rPr>
        <w:t>Contact:</w:t>
      </w:r>
      <w:r>
        <w:t xml:space="preserve">  </w:t>
      </w:r>
      <w:r w:rsidR="003D126E">
        <w:rPr>
          <w:sz w:val="24"/>
          <w:szCs w:val="24"/>
        </w:rPr>
        <w:t xml:space="preserve">Elaine McEachron, Democratic &amp; Electoral Services Manager  </w:t>
      </w:r>
    </w:p>
    <w:p w:rsidR="003D126E" w:rsidRDefault="003D126E" w:rsidP="003D126E">
      <w:pPr>
        <w:pStyle w:val="Infotext"/>
        <w:rPr>
          <w:sz w:val="24"/>
          <w:szCs w:val="24"/>
        </w:rPr>
      </w:pPr>
      <w:r>
        <w:rPr>
          <w:sz w:val="24"/>
          <w:szCs w:val="24"/>
        </w:rPr>
        <w:t>Tel: 020 8424 1097</w:t>
      </w:r>
    </w:p>
    <w:p w:rsidR="003D126E" w:rsidRDefault="003D126E" w:rsidP="003D126E">
      <w:pPr>
        <w:pStyle w:val="Infotext"/>
        <w:rPr>
          <w:sz w:val="24"/>
          <w:szCs w:val="24"/>
        </w:rPr>
      </w:pPr>
      <w:r>
        <w:rPr>
          <w:sz w:val="24"/>
          <w:szCs w:val="24"/>
        </w:rPr>
        <w:t>Email: elaine.mceachron@harrow.gov.uk</w:t>
      </w:r>
    </w:p>
    <w:p w:rsidR="002A2389" w:rsidRDefault="002A2389"/>
    <w:p w:rsidR="002A2389" w:rsidRDefault="002A2389">
      <w:pPr>
        <w:pStyle w:val="Infotext"/>
      </w:pPr>
      <w:r w:rsidRPr="00D914D2">
        <w:rPr>
          <w:b/>
        </w:rPr>
        <w:t>Background Papers</w:t>
      </w:r>
      <w:r>
        <w:t xml:space="preserve">:  </w:t>
      </w:r>
    </w:p>
    <w:p w:rsidR="002A2389" w:rsidRDefault="002A2389"/>
    <w:p w:rsidR="008400A6" w:rsidRDefault="008400A6">
      <w:r>
        <w:t>Notice of Review</w:t>
      </w:r>
    </w:p>
    <w:p w:rsidR="008400A6" w:rsidRDefault="008400A6">
      <w:r>
        <w:t>Polling District Review Ward Booklets</w:t>
      </w:r>
    </w:p>
    <w:p w:rsidR="008400A6" w:rsidRDefault="008400A6"/>
    <w:p w:rsidR="002A2389" w:rsidRDefault="002A2389">
      <w:pPr>
        <w:pStyle w:val="Infotext"/>
      </w:pPr>
      <w:r>
        <w:t xml:space="preserve">If appropriate, does the report include the following considerations? </w:t>
      </w:r>
    </w:p>
    <w:p w:rsidR="002A2389" w:rsidRDefault="002A23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5743"/>
        <w:gridCol w:w="2126"/>
      </w:tblGrid>
      <w:tr w:rsidR="002A2389">
        <w:tc>
          <w:tcPr>
            <w:tcW w:w="656" w:type="dxa"/>
          </w:tcPr>
          <w:p w:rsidR="002A2389" w:rsidRDefault="002A2389">
            <w:pPr>
              <w:pStyle w:val="Infotext"/>
            </w:pPr>
            <w:r>
              <w:t>1.</w:t>
            </w:r>
          </w:p>
        </w:tc>
        <w:tc>
          <w:tcPr>
            <w:tcW w:w="5743" w:type="dxa"/>
          </w:tcPr>
          <w:p w:rsidR="002A2389" w:rsidRDefault="002A2389">
            <w:pPr>
              <w:pStyle w:val="Infotext"/>
            </w:pPr>
            <w:r>
              <w:t xml:space="preserve">Consultation </w:t>
            </w:r>
          </w:p>
        </w:tc>
        <w:tc>
          <w:tcPr>
            <w:tcW w:w="2126" w:type="dxa"/>
          </w:tcPr>
          <w:p w:rsidR="002A2389" w:rsidRDefault="002A2389" w:rsidP="008400A6">
            <w:pPr>
              <w:pStyle w:val="Infotext"/>
            </w:pPr>
            <w:r>
              <w:t xml:space="preserve">YES </w:t>
            </w:r>
          </w:p>
        </w:tc>
      </w:tr>
      <w:tr w:rsidR="002A2389">
        <w:tc>
          <w:tcPr>
            <w:tcW w:w="656" w:type="dxa"/>
          </w:tcPr>
          <w:p w:rsidR="002A2389" w:rsidRDefault="002A2389">
            <w:pPr>
              <w:pStyle w:val="Infotext"/>
            </w:pPr>
            <w:r>
              <w:t>2.</w:t>
            </w:r>
          </w:p>
        </w:tc>
        <w:tc>
          <w:tcPr>
            <w:tcW w:w="5743" w:type="dxa"/>
          </w:tcPr>
          <w:p w:rsidR="002A2389" w:rsidRDefault="00FF71E5">
            <w:pPr>
              <w:pStyle w:val="Infotext"/>
            </w:pPr>
            <w:r>
              <w:t>Priorities</w:t>
            </w:r>
          </w:p>
        </w:tc>
        <w:tc>
          <w:tcPr>
            <w:tcW w:w="2126" w:type="dxa"/>
          </w:tcPr>
          <w:p w:rsidR="002A2389" w:rsidRDefault="002A2389" w:rsidP="008400A6">
            <w:pPr>
              <w:pStyle w:val="Infotext"/>
            </w:pPr>
            <w:r>
              <w:t xml:space="preserve">YES </w:t>
            </w:r>
          </w:p>
        </w:tc>
      </w:tr>
    </w:tbl>
    <w:p w:rsidR="002A2389" w:rsidRDefault="002A2389" w:rsidP="006E3200"/>
    <w:sectPr w:rsidR="002A2389" w:rsidSect="006A46E1">
      <w:type w:val="continuous"/>
      <w:pgSz w:w="11909" w:h="16834" w:code="9"/>
      <w:pgMar w:top="1008" w:right="1800" w:bottom="993"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90" w:rsidRDefault="00131490">
      <w:r>
        <w:separator/>
      </w:r>
    </w:p>
  </w:endnote>
  <w:endnote w:type="continuationSeparator" w:id="0">
    <w:p w:rsidR="00131490" w:rsidRDefault="0013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90" w:rsidRDefault="00131490">
      <w:r>
        <w:separator/>
      </w:r>
    </w:p>
  </w:footnote>
  <w:footnote w:type="continuationSeparator" w:id="0">
    <w:p w:rsidR="00131490" w:rsidRDefault="00131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68236D"/>
    <w:multiLevelType w:val="hybridMultilevel"/>
    <w:tmpl w:val="645A4760"/>
    <w:lvl w:ilvl="0" w:tplc="EB0E3C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2B6EB4"/>
    <w:multiLevelType w:val="hybridMultilevel"/>
    <w:tmpl w:val="5EF40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1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 w:numId="10">
    <w:abstractNumId w:val="11"/>
  </w:num>
  <w:num w:numId="11">
    <w:abstractNumId w:val="14"/>
  </w:num>
  <w:num w:numId="12">
    <w:abstractNumId w:val="10"/>
  </w:num>
  <w:num w:numId="13">
    <w:abstractNumId w:val="2"/>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3/12/2019 11:04"/>
  </w:docVars>
  <w:rsids>
    <w:rsidRoot w:val="007E7303"/>
    <w:rsid w:val="00057F10"/>
    <w:rsid w:val="000633A2"/>
    <w:rsid w:val="00071EB4"/>
    <w:rsid w:val="00077298"/>
    <w:rsid w:val="000A58A1"/>
    <w:rsid w:val="000A6659"/>
    <w:rsid w:val="000A674F"/>
    <w:rsid w:val="000B0E6F"/>
    <w:rsid w:val="000B6DBB"/>
    <w:rsid w:val="000D2BF2"/>
    <w:rsid w:val="000F65C0"/>
    <w:rsid w:val="00131490"/>
    <w:rsid w:val="00153970"/>
    <w:rsid w:val="001939BA"/>
    <w:rsid w:val="001A6EB0"/>
    <w:rsid w:val="001B441D"/>
    <w:rsid w:val="001C5225"/>
    <w:rsid w:val="001E0219"/>
    <w:rsid w:val="0021207E"/>
    <w:rsid w:val="00213BE7"/>
    <w:rsid w:val="00231A1D"/>
    <w:rsid w:val="002330F5"/>
    <w:rsid w:val="00244120"/>
    <w:rsid w:val="00293F9F"/>
    <w:rsid w:val="002A2389"/>
    <w:rsid w:val="002C08E2"/>
    <w:rsid w:val="002C1794"/>
    <w:rsid w:val="002E6637"/>
    <w:rsid w:val="002E77E3"/>
    <w:rsid w:val="00332947"/>
    <w:rsid w:val="00333EB4"/>
    <w:rsid w:val="00345915"/>
    <w:rsid w:val="003D126E"/>
    <w:rsid w:val="003D28B8"/>
    <w:rsid w:val="00400032"/>
    <w:rsid w:val="0040603B"/>
    <w:rsid w:val="00412B19"/>
    <w:rsid w:val="0042394B"/>
    <w:rsid w:val="00473B08"/>
    <w:rsid w:val="00474B5F"/>
    <w:rsid w:val="004A3CE6"/>
    <w:rsid w:val="004A4713"/>
    <w:rsid w:val="004B2C9D"/>
    <w:rsid w:val="004B4A47"/>
    <w:rsid w:val="004E667D"/>
    <w:rsid w:val="004E6AF9"/>
    <w:rsid w:val="00597314"/>
    <w:rsid w:val="005A61AF"/>
    <w:rsid w:val="005D0886"/>
    <w:rsid w:val="005E384D"/>
    <w:rsid w:val="005F2181"/>
    <w:rsid w:val="005F724B"/>
    <w:rsid w:val="00600FBE"/>
    <w:rsid w:val="0063072B"/>
    <w:rsid w:val="00662891"/>
    <w:rsid w:val="006628B7"/>
    <w:rsid w:val="00675FCB"/>
    <w:rsid w:val="006A46E1"/>
    <w:rsid w:val="006C3914"/>
    <w:rsid w:val="006D20B4"/>
    <w:rsid w:val="006D3648"/>
    <w:rsid w:val="006E3200"/>
    <w:rsid w:val="0074184E"/>
    <w:rsid w:val="00743829"/>
    <w:rsid w:val="00755F8D"/>
    <w:rsid w:val="00796503"/>
    <w:rsid w:val="007D2BDA"/>
    <w:rsid w:val="007D56C8"/>
    <w:rsid w:val="007E3934"/>
    <w:rsid w:val="007E7303"/>
    <w:rsid w:val="007F79EA"/>
    <w:rsid w:val="008212A0"/>
    <w:rsid w:val="00837F53"/>
    <w:rsid w:val="008400A6"/>
    <w:rsid w:val="008B5684"/>
    <w:rsid w:val="008D1750"/>
    <w:rsid w:val="008D7800"/>
    <w:rsid w:val="008E2910"/>
    <w:rsid w:val="008E4913"/>
    <w:rsid w:val="00900464"/>
    <w:rsid w:val="0090100E"/>
    <w:rsid w:val="0090359A"/>
    <w:rsid w:val="0093767E"/>
    <w:rsid w:val="00965434"/>
    <w:rsid w:val="00972A02"/>
    <w:rsid w:val="0099517C"/>
    <w:rsid w:val="009A0937"/>
    <w:rsid w:val="009B2ECD"/>
    <w:rsid w:val="009B7914"/>
    <w:rsid w:val="009F430B"/>
    <w:rsid w:val="00A566E7"/>
    <w:rsid w:val="00A940D3"/>
    <w:rsid w:val="00A96FCA"/>
    <w:rsid w:val="00AA4BE8"/>
    <w:rsid w:val="00AC0AAB"/>
    <w:rsid w:val="00AC7BA9"/>
    <w:rsid w:val="00B0425E"/>
    <w:rsid w:val="00B45513"/>
    <w:rsid w:val="00B56D6C"/>
    <w:rsid w:val="00B900E2"/>
    <w:rsid w:val="00B9118E"/>
    <w:rsid w:val="00BD3815"/>
    <w:rsid w:val="00BD684A"/>
    <w:rsid w:val="00C32DAE"/>
    <w:rsid w:val="00C40E24"/>
    <w:rsid w:val="00C92D9A"/>
    <w:rsid w:val="00C96EF5"/>
    <w:rsid w:val="00CC3875"/>
    <w:rsid w:val="00D32B51"/>
    <w:rsid w:val="00D34668"/>
    <w:rsid w:val="00D3740E"/>
    <w:rsid w:val="00D40335"/>
    <w:rsid w:val="00D82F57"/>
    <w:rsid w:val="00D841A5"/>
    <w:rsid w:val="00D914D2"/>
    <w:rsid w:val="00DA25DB"/>
    <w:rsid w:val="00DD4251"/>
    <w:rsid w:val="00E02B50"/>
    <w:rsid w:val="00E03F11"/>
    <w:rsid w:val="00E06DC8"/>
    <w:rsid w:val="00E220B5"/>
    <w:rsid w:val="00E33D93"/>
    <w:rsid w:val="00E609EF"/>
    <w:rsid w:val="00E8515B"/>
    <w:rsid w:val="00ED68DF"/>
    <w:rsid w:val="00EF2F91"/>
    <w:rsid w:val="00F33EE3"/>
    <w:rsid w:val="00F4213B"/>
    <w:rsid w:val="00F5679A"/>
    <w:rsid w:val="00F57DCF"/>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customStyle="1" w:styleId="Default">
    <w:name w:val="Default"/>
    <w:rsid w:val="00B56D6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57DCF"/>
    <w:rPr>
      <w:sz w:val="16"/>
      <w:szCs w:val="16"/>
    </w:rPr>
  </w:style>
  <w:style w:type="paragraph" w:styleId="CommentText">
    <w:name w:val="annotation text"/>
    <w:basedOn w:val="Normal"/>
    <w:link w:val="CommentTextChar"/>
    <w:rsid w:val="00F57DCF"/>
    <w:rPr>
      <w:sz w:val="20"/>
    </w:rPr>
  </w:style>
  <w:style w:type="character" w:customStyle="1" w:styleId="CommentTextChar">
    <w:name w:val="Comment Text Char"/>
    <w:basedOn w:val="DefaultParagraphFont"/>
    <w:link w:val="CommentText"/>
    <w:rsid w:val="00F57DCF"/>
    <w:rPr>
      <w:rFonts w:ascii="Arial" w:hAnsi="Arial"/>
      <w:lang w:eastAsia="en-US"/>
    </w:rPr>
  </w:style>
  <w:style w:type="paragraph" w:styleId="CommentSubject">
    <w:name w:val="annotation subject"/>
    <w:basedOn w:val="CommentText"/>
    <w:next w:val="CommentText"/>
    <w:link w:val="CommentSubjectChar"/>
    <w:rsid w:val="00F57DCF"/>
    <w:rPr>
      <w:b/>
      <w:bCs/>
    </w:rPr>
  </w:style>
  <w:style w:type="character" w:customStyle="1" w:styleId="CommentSubjectChar">
    <w:name w:val="Comment Subject Char"/>
    <w:basedOn w:val="CommentTextChar"/>
    <w:link w:val="CommentSubject"/>
    <w:rsid w:val="00F57DCF"/>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customStyle="1" w:styleId="Default">
    <w:name w:val="Default"/>
    <w:rsid w:val="00B56D6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57DCF"/>
    <w:rPr>
      <w:sz w:val="16"/>
      <w:szCs w:val="16"/>
    </w:rPr>
  </w:style>
  <w:style w:type="paragraph" w:styleId="CommentText">
    <w:name w:val="annotation text"/>
    <w:basedOn w:val="Normal"/>
    <w:link w:val="CommentTextChar"/>
    <w:rsid w:val="00F57DCF"/>
    <w:rPr>
      <w:sz w:val="20"/>
    </w:rPr>
  </w:style>
  <w:style w:type="character" w:customStyle="1" w:styleId="CommentTextChar">
    <w:name w:val="Comment Text Char"/>
    <w:basedOn w:val="DefaultParagraphFont"/>
    <w:link w:val="CommentText"/>
    <w:rsid w:val="00F57DCF"/>
    <w:rPr>
      <w:rFonts w:ascii="Arial" w:hAnsi="Arial"/>
      <w:lang w:eastAsia="en-US"/>
    </w:rPr>
  </w:style>
  <w:style w:type="paragraph" w:styleId="CommentSubject">
    <w:name w:val="annotation subject"/>
    <w:basedOn w:val="CommentText"/>
    <w:next w:val="CommentText"/>
    <w:link w:val="CommentSubjectChar"/>
    <w:rsid w:val="00F57DCF"/>
    <w:rPr>
      <w:b/>
      <w:bCs/>
    </w:rPr>
  </w:style>
  <w:style w:type="character" w:customStyle="1" w:styleId="CommentSubjectChar">
    <w:name w:val="Comment Subject Char"/>
    <w:basedOn w:val="CommentTextChar"/>
    <w:link w:val="CommentSubject"/>
    <w:rsid w:val="00F57DC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5699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2020-01-07T13:06:00Z</dcterms:created>
  <dcterms:modified xsi:type="dcterms:W3CDTF">2020-01-07T13:06:00Z</dcterms:modified>
</cp:coreProperties>
</file>